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444DB">
      <w:pPr>
        <w:spacing w:line="360" w:lineRule="auto"/>
        <w:jc w:val="center"/>
      </w:pPr>
      <w:r>
        <w:rPr>
          <w:b/>
          <w:bCs/>
          <w:sz w:val="36"/>
          <w:szCs w:val="36"/>
        </w:rPr>
        <w:t>襄阳技师学院职业技能等级</w:t>
      </w:r>
    </w:p>
    <w:p w14:paraId="32DC672A">
      <w:pPr>
        <w:spacing w:after="200" w:line="360" w:lineRule="auto"/>
        <w:jc w:val="center"/>
      </w:pPr>
      <w:r>
        <w:rPr>
          <w:b/>
          <w:bCs/>
          <w:sz w:val="36"/>
          <w:szCs w:val="36"/>
        </w:rPr>
        <w:t>认定第</w:t>
      </w:r>
      <w:r>
        <w:rPr>
          <w:rFonts w:hint="eastAsia"/>
          <w:b/>
          <w:bCs/>
          <w:sz w:val="36"/>
          <w:szCs w:val="36"/>
          <w:lang w:val="en-US" w:eastAsia="zh-CN"/>
        </w:rPr>
        <w:t>三</w:t>
      </w:r>
      <w:r>
        <w:rPr>
          <w:b/>
          <w:bCs/>
          <w:sz w:val="36"/>
          <w:szCs w:val="36"/>
        </w:rPr>
        <w:t>批考试计划</w:t>
      </w:r>
    </w:p>
    <w:p w14:paraId="495B9F51"/>
    <w:p w14:paraId="139D624F">
      <w:pPr>
        <w:spacing w:before="60" w:after="120" w:line="560" w:lineRule="exact"/>
        <w:ind w:firstLine="640" w:firstLineChars="200"/>
        <w:rPr>
          <w:rFonts w:ascii="仿宋_GB2312" w:eastAsia="仿宋_GB2312"/>
          <w:sz w:val="32"/>
          <w:szCs w:val="32"/>
        </w:rPr>
      </w:pPr>
      <w:r>
        <w:rPr>
          <w:rFonts w:hint="eastAsia" w:ascii="仿宋_GB2312" w:hAnsi="仿宋" w:eastAsia="仿宋_GB2312" w:cs="仿宋"/>
          <w:sz w:val="32"/>
          <w:szCs w:val="32"/>
        </w:rPr>
        <w:t>襄阳技师学院经省人力资源保障部门批准为襄阳市技能等级认定评价备案组织（机构备案码：Y000042041001）。根据国家职业技能等级认定评价工作要求，对在校应届毕业学生发布车工（普通车工）、车工（数控车工）、铣工（数控铣工）等级认定评价相关事宜公告。</w:t>
      </w:r>
    </w:p>
    <w:p w14:paraId="6D1CDAAC">
      <w:pPr>
        <w:spacing w:before="60" w:after="60" w:line="560" w:lineRule="exact"/>
        <w:ind w:firstLine="643" w:firstLineChars="200"/>
        <w:jc w:val="left"/>
        <w:rPr>
          <w:rFonts w:cs="仿宋" w:asciiTheme="minorEastAsia" w:hAnsiTheme="minorEastAsia" w:eastAsiaTheme="minorEastAsia"/>
          <w:sz w:val="32"/>
          <w:szCs w:val="32"/>
        </w:rPr>
      </w:pPr>
      <w:r>
        <w:rPr>
          <w:rFonts w:hint="eastAsia" w:cs="仿宋" w:asciiTheme="minorEastAsia" w:hAnsiTheme="minorEastAsia" w:eastAsiaTheme="minorEastAsia"/>
          <w:b/>
          <w:bCs/>
          <w:sz w:val="32"/>
          <w:szCs w:val="32"/>
        </w:rPr>
        <w:t>一、认定评价职业（工种）、等级</w:t>
      </w:r>
    </w:p>
    <w:p w14:paraId="068AB4DA"/>
    <w:tbl>
      <w:tblPr>
        <w:tblStyle w:val="14"/>
        <w:tblW w:w="9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120" w:type="dxa"/>
          <w:bottom w:w="60" w:type="dxa"/>
          <w:right w:w="120" w:type="dxa"/>
        </w:tblCellMar>
      </w:tblPr>
      <w:tblGrid>
        <w:gridCol w:w="500"/>
        <w:gridCol w:w="2155"/>
        <w:gridCol w:w="1610"/>
        <w:gridCol w:w="1508"/>
        <w:gridCol w:w="1880"/>
        <w:gridCol w:w="1748"/>
      </w:tblGrid>
      <w:tr w14:paraId="0169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blHeader/>
        </w:trPr>
        <w:tc>
          <w:tcPr>
            <w:tcW w:w="500" w:type="dxa"/>
            <w:vAlign w:val="center"/>
          </w:tcPr>
          <w:p w14:paraId="5A01BBEA">
            <w:pPr>
              <w:spacing w:before="40" w:after="40"/>
              <w:jc w:val="center"/>
              <w:rPr>
                <w:rFonts w:ascii="仿宋" w:hAnsi="仿宋" w:eastAsia="仿宋" w:cs="仿宋"/>
                <w:sz w:val="18"/>
                <w:szCs w:val="18"/>
              </w:rPr>
            </w:pPr>
            <w:r>
              <w:rPr>
                <w:rFonts w:hint="eastAsia" w:ascii="仿宋" w:hAnsi="仿宋" w:eastAsia="仿宋" w:cs="仿宋"/>
                <w:b/>
                <w:bCs/>
                <w:sz w:val="18"/>
                <w:szCs w:val="18"/>
              </w:rPr>
              <w:t>序号</w:t>
            </w:r>
          </w:p>
        </w:tc>
        <w:tc>
          <w:tcPr>
            <w:tcW w:w="2155" w:type="dxa"/>
            <w:vAlign w:val="center"/>
          </w:tcPr>
          <w:p w14:paraId="785D0B7E">
            <w:pPr>
              <w:spacing w:before="40" w:after="40"/>
              <w:jc w:val="center"/>
              <w:rPr>
                <w:rFonts w:ascii="仿宋" w:hAnsi="仿宋" w:eastAsia="仿宋" w:cs="仿宋"/>
                <w:sz w:val="18"/>
                <w:szCs w:val="18"/>
              </w:rPr>
            </w:pPr>
            <w:r>
              <w:rPr>
                <w:rFonts w:hint="eastAsia" w:ascii="仿宋" w:hAnsi="仿宋" w:eastAsia="仿宋" w:cs="仿宋"/>
                <w:b/>
                <w:bCs/>
                <w:sz w:val="18"/>
                <w:szCs w:val="18"/>
              </w:rPr>
              <w:t>职 业</w:t>
            </w:r>
          </w:p>
        </w:tc>
        <w:tc>
          <w:tcPr>
            <w:tcW w:w="1610" w:type="dxa"/>
            <w:vAlign w:val="center"/>
          </w:tcPr>
          <w:p w14:paraId="2C93CE68">
            <w:pPr>
              <w:spacing w:before="40" w:after="40"/>
              <w:jc w:val="center"/>
              <w:rPr>
                <w:rFonts w:ascii="仿宋" w:hAnsi="仿宋" w:eastAsia="仿宋" w:cs="仿宋"/>
                <w:sz w:val="18"/>
                <w:szCs w:val="18"/>
              </w:rPr>
            </w:pPr>
            <w:r>
              <w:rPr>
                <w:rFonts w:hint="eastAsia" w:ascii="仿宋" w:hAnsi="仿宋" w:eastAsia="仿宋" w:cs="仿宋"/>
                <w:b/>
                <w:bCs/>
                <w:sz w:val="18"/>
                <w:szCs w:val="18"/>
              </w:rPr>
              <w:t>级 别</w:t>
            </w:r>
          </w:p>
        </w:tc>
        <w:tc>
          <w:tcPr>
            <w:tcW w:w="1508" w:type="dxa"/>
            <w:vAlign w:val="center"/>
          </w:tcPr>
          <w:p w14:paraId="21C219F2">
            <w:pPr>
              <w:spacing w:before="40" w:after="40"/>
              <w:jc w:val="center"/>
              <w:rPr>
                <w:rFonts w:ascii="仿宋" w:hAnsi="仿宋" w:eastAsia="仿宋" w:cs="仿宋"/>
                <w:sz w:val="18"/>
                <w:szCs w:val="18"/>
              </w:rPr>
            </w:pPr>
            <w:r>
              <w:rPr>
                <w:rFonts w:hint="eastAsia" w:ascii="仿宋" w:hAnsi="仿宋" w:eastAsia="仿宋" w:cs="仿宋"/>
                <w:b/>
                <w:bCs/>
                <w:sz w:val="18"/>
                <w:szCs w:val="18"/>
              </w:rPr>
              <w:t>报名时间</w:t>
            </w:r>
          </w:p>
        </w:tc>
        <w:tc>
          <w:tcPr>
            <w:tcW w:w="1880" w:type="dxa"/>
            <w:vAlign w:val="center"/>
          </w:tcPr>
          <w:p w14:paraId="6DEFC869">
            <w:pPr>
              <w:spacing w:before="40" w:after="40"/>
              <w:jc w:val="center"/>
              <w:rPr>
                <w:rFonts w:ascii="仿宋" w:hAnsi="仿宋" w:eastAsia="仿宋" w:cs="仿宋"/>
                <w:sz w:val="18"/>
                <w:szCs w:val="18"/>
              </w:rPr>
            </w:pPr>
            <w:r>
              <w:rPr>
                <w:rFonts w:hint="eastAsia" w:ascii="仿宋" w:hAnsi="仿宋" w:eastAsia="仿宋" w:cs="仿宋"/>
                <w:b/>
                <w:bCs/>
                <w:sz w:val="18"/>
                <w:szCs w:val="18"/>
              </w:rPr>
              <w:t>评价时间</w:t>
            </w:r>
          </w:p>
        </w:tc>
        <w:tc>
          <w:tcPr>
            <w:tcW w:w="1748" w:type="dxa"/>
            <w:vAlign w:val="center"/>
          </w:tcPr>
          <w:p w14:paraId="18B6ED72">
            <w:pPr>
              <w:spacing w:before="40" w:after="40"/>
              <w:jc w:val="center"/>
              <w:rPr>
                <w:rFonts w:ascii="仿宋" w:hAnsi="仿宋" w:eastAsia="仿宋" w:cs="仿宋"/>
                <w:sz w:val="18"/>
                <w:szCs w:val="18"/>
              </w:rPr>
            </w:pPr>
            <w:r>
              <w:rPr>
                <w:rFonts w:hint="eastAsia" w:ascii="仿宋" w:hAnsi="仿宋" w:eastAsia="仿宋" w:cs="仿宋"/>
                <w:b/>
                <w:bCs/>
                <w:sz w:val="18"/>
                <w:szCs w:val="18"/>
              </w:rPr>
              <w:t>评价方式</w:t>
            </w:r>
          </w:p>
        </w:tc>
      </w:tr>
      <w:tr w14:paraId="1027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013E1918">
            <w:pPr>
              <w:spacing w:before="40" w:after="40"/>
              <w:jc w:val="center"/>
              <w:rPr>
                <w:rFonts w:hint="eastAsia" w:ascii="仿宋" w:hAnsi="仿宋" w:eastAsia="仿宋" w:cs="仿宋"/>
                <w:sz w:val="18"/>
                <w:szCs w:val="18"/>
                <w:lang w:eastAsia="zh-CN"/>
              </w:rPr>
            </w:pPr>
            <w:r>
              <w:rPr>
                <w:rFonts w:hint="eastAsia" w:ascii="仿宋" w:hAnsi="仿宋" w:eastAsia="仿宋" w:cs="仿宋"/>
                <w:sz w:val="18"/>
                <w:szCs w:val="18"/>
                <w:lang w:val="en-US" w:eastAsia="zh-CN"/>
              </w:rPr>
              <w:t>1</w:t>
            </w:r>
          </w:p>
        </w:tc>
        <w:tc>
          <w:tcPr>
            <w:tcW w:w="2155" w:type="dxa"/>
            <w:vAlign w:val="center"/>
          </w:tcPr>
          <w:p w14:paraId="5A051C2C">
            <w:pPr>
              <w:spacing w:before="40" w:after="40"/>
              <w:jc w:val="left"/>
              <w:rPr>
                <w:rFonts w:ascii="仿宋" w:hAnsi="仿宋" w:eastAsia="仿宋" w:cs="仿宋"/>
                <w:sz w:val="18"/>
                <w:szCs w:val="18"/>
              </w:rPr>
            </w:pPr>
            <w:r>
              <w:rPr>
                <w:rFonts w:hint="eastAsia" w:ascii="仿宋" w:hAnsi="仿宋" w:eastAsia="仿宋" w:cs="仿宋"/>
                <w:sz w:val="18"/>
                <w:szCs w:val="18"/>
              </w:rPr>
              <w:t>车工（普通车工）</w:t>
            </w:r>
          </w:p>
        </w:tc>
        <w:tc>
          <w:tcPr>
            <w:tcW w:w="1610" w:type="dxa"/>
            <w:vAlign w:val="center"/>
          </w:tcPr>
          <w:p w14:paraId="2B279C83">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508" w:type="dxa"/>
            <w:vAlign w:val="center"/>
          </w:tcPr>
          <w:p w14:paraId="2200444B">
            <w:pPr>
              <w:spacing w:before="40" w:after="40"/>
              <w:jc w:val="center"/>
              <w:rPr>
                <w:rFonts w:ascii="仿宋" w:hAnsi="仿宋" w:eastAsia="仿宋" w:cs="仿宋"/>
                <w:sz w:val="18"/>
                <w:szCs w:val="18"/>
              </w:rPr>
            </w:pPr>
            <w:r>
              <w:rPr>
                <w:rFonts w:hint="eastAsia" w:ascii="仿宋" w:hAnsi="仿宋" w:eastAsia="仿宋" w:cs="仿宋"/>
                <w:sz w:val="18"/>
                <w:szCs w:val="18"/>
              </w:rPr>
              <w:t>2026年</w:t>
            </w:r>
            <w:r>
              <w:rPr>
                <w:rFonts w:hint="eastAsia" w:ascii="仿宋" w:hAnsi="仿宋" w:eastAsia="仿宋" w:cs="仿宋"/>
                <w:sz w:val="18"/>
                <w:szCs w:val="18"/>
                <w:lang w:val="en-US" w:eastAsia="zh-CN"/>
              </w:rPr>
              <w:t>11</w:t>
            </w:r>
            <w:r>
              <w:rPr>
                <w:rFonts w:hint="eastAsia" w:ascii="仿宋" w:hAnsi="仿宋" w:eastAsia="仿宋" w:cs="仿宋"/>
                <w:sz w:val="18"/>
                <w:szCs w:val="18"/>
              </w:rPr>
              <w:t>月</w:t>
            </w:r>
            <w:r>
              <w:rPr>
                <w:rFonts w:hint="eastAsia" w:ascii="仿宋" w:hAnsi="仿宋" w:eastAsia="仿宋" w:cs="仿宋"/>
                <w:sz w:val="18"/>
                <w:szCs w:val="18"/>
                <w:lang w:val="en-US" w:eastAsia="zh-CN"/>
              </w:rPr>
              <w:t>9</w:t>
            </w:r>
            <w:r>
              <w:rPr>
                <w:rFonts w:hint="eastAsia" w:ascii="仿宋" w:hAnsi="仿宋" w:eastAsia="仿宋" w:cs="仿宋"/>
                <w:sz w:val="18"/>
                <w:szCs w:val="18"/>
              </w:rPr>
              <w:t>日至</w:t>
            </w:r>
            <w:r>
              <w:rPr>
                <w:rFonts w:hint="eastAsia" w:ascii="仿宋" w:hAnsi="仿宋" w:eastAsia="仿宋" w:cs="仿宋"/>
                <w:sz w:val="18"/>
                <w:szCs w:val="18"/>
                <w:lang w:val="en-US" w:eastAsia="zh-CN"/>
              </w:rPr>
              <w:t>11</w:t>
            </w:r>
            <w:r>
              <w:rPr>
                <w:rFonts w:hint="eastAsia" w:ascii="仿宋" w:hAnsi="仿宋" w:eastAsia="仿宋" w:cs="仿宋"/>
                <w:sz w:val="18"/>
                <w:szCs w:val="18"/>
              </w:rPr>
              <w:t>月</w:t>
            </w:r>
            <w:r>
              <w:rPr>
                <w:rFonts w:hint="eastAsia" w:ascii="仿宋" w:hAnsi="仿宋" w:eastAsia="仿宋" w:cs="仿宋"/>
                <w:sz w:val="18"/>
                <w:szCs w:val="18"/>
                <w:lang w:val="en-US" w:eastAsia="zh-CN"/>
              </w:rPr>
              <w:t>13</w:t>
            </w:r>
            <w:r>
              <w:rPr>
                <w:rFonts w:hint="eastAsia" w:ascii="仿宋" w:hAnsi="仿宋" w:eastAsia="仿宋" w:cs="仿宋"/>
                <w:sz w:val="18"/>
                <w:szCs w:val="18"/>
              </w:rPr>
              <w:t>日</w:t>
            </w:r>
          </w:p>
        </w:tc>
        <w:tc>
          <w:tcPr>
            <w:tcW w:w="1880" w:type="dxa"/>
            <w:vAlign w:val="center"/>
          </w:tcPr>
          <w:p w14:paraId="45694AD7">
            <w:pPr>
              <w:spacing w:before="40" w:after="40"/>
              <w:jc w:val="center"/>
              <w:rPr>
                <w:rFonts w:ascii="仿宋" w:hAnsi="仿宋" w:eastAsia="仿宋" w:cs="仿宋"/>
                <w:sz w:val="18"/>
                <w:szCs w:val="18"/>
              </w:rPr>
            </w:pPr>
            <w:r>
              <w:rPr>
                <w:rFonts w:hint="eastAsia" w:ascii="仿宋" w:hAnsi="仿宋" w:eastAsia="仿宋" w:cs="仿宋"/>
                <w:sz w:val="18"/>
                <w:szCs w:val="18"/>
              </w:rPr>
              <w:t>2026年1</w:t>
            </w:r>
            <w:r>
              <w:rPr>
                <w:rFonts w:hint="eastAsia" w:ascii="仿宋" w:hAnsi="仿宋" w:eastAsia="仿宋" w:cs="仿宋"/>
                <w:sz w:val="18"/>
                <w:szCs w:val="18"/>
                <w:lang w:val="en-US" w:eastAsia="zh-CN"/>
              </w:rPr>
              <w:t>1</w:t>
            </w:r>
            <w:r>
              <w:rPr>
                <w:rFonts w:hint="eastAsia" w:ascii="仿宋" w:hAnsi="仿宋" w:eastAsia="仿宋" w:cs="仿宋"/>
                <w:sz w:val="18"/>
                <w:szCs w:val="18"/>
              </w:rPr>
              <w:t>月</w:t>
            </w:r>
            <w:r>
              <w:rPr>
                <w:rFonts w:hint="eastAsia" w:ascii="仿宋" w:hAnsi="仿宋" w:eastAsia="仿宋" w:cs="仿宋"/>
                <w:sz w:val="18"/>
                <w:szCs w:val="18"/>
                <w:lang w:val="en-US" w:eastAsia="zh-CN"/>
              </w:rPr>
              <w:t>2</w:t>
            </w:r>
            <w:r>
              <w:rPr>
                <w:rFonts w:hint="eastAsia" w:ascii="仿宋" w:hAnsi="仿宋" w:eastAsia="仿宋" w:cs="仿宋"/>
                <w:sz w:val="18"/>
                <w:szCs w:val="18"/>
              </w:rPr>
              <w:t>8日</w:t>
            </w:r>
          </w:p>
        </w:tc>
        <w:tc>
          <w:tcPr>
            <w:tcW w:w="1748" w:type="dxa"/>
            <w:vAlign w:val="center"/>
          </w:tcPr>
          <w:p w14:paraId="1A07A604">
            <w:pPr>
              <w:spacing w:before="40" w:after="40"/>
              <w:jc w:val="center"/>
              <w:rPr>
                <w:rFonts w:ascii="仿宋" w:hAnsi="仿宋" w:eastAsia="仿宋" w:cs="仿宋"/>
                <w:sz w:val="18"/>
                <w:szCs w:val="18"/>
              </w:rPr>
            </w:pPr>
            <w:r>
              <w:rPr>
                <w:rFonts w:hint="eastAsia" w:ascii="仿宋" w:hAnsi="仿宋" w:eastAsia="仿宋" w:cs="仿宋"/>
                <w:sz w:val="18"/>
                <w:szCs w:val="18"/>
              </w:rPr>
              <w:t>理论</w:t>
            </w:r>
            <w:r>
              <w:rPr>
                <w:rFonts w:hint="eastAsia" w:ascii="仿宋" w:hAnsi="仿宋" w:eastAsia="仿宋" w:cs="仿宋"/>
                <w:sz w:val="18"/>
                <w:szCs w:val="18"/>
                <w:lang w:val="en-US" w:eastAsia="zh-CN"/>
              </w:rPr>
              <w:t>按本专业学科成绩认定</w:t>
            </w:r>
            <w:r>
              <w:rPr>
                <w:rFonts w:hint="eastAsia" w:ascii="仿宋" w:hAnsi="仿宋" w:eastAsia="仿宋" w:cs="仿宋"/>
                <w:sz w:val="18"/>
                <w:szCs w:val="18"/>
              </w:rPr>
              <w:t>、技能</w:t>
            </w:r>
            <w:r>
              <w:rPr>
                <w:rFonts w:hint="eastAsia" w:ascii="仿宋" w:hAnsi="仿宋" w:eastAsia="仿宋" w:cs="仿宋"/>
                <w:sz w:val="18"/>
                <w:szCs w:val="18"/>
                <w:lang w:val="en-US" w:eastAsia="zh-CN"/>
              </w:rPr>
              <w:t>按实操考核认定</w:t>
            </w:r>
          </w:p>
        </w:tc>
      </w:tr>
      <w:tr w14:paraId="74A3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shd w:val="clear" w:color="auto" w:fill="auto"/>
            <w:vAlign w:val="center"/>
          </w:tcPr>
          <w:p w14:paraId="1D32AA67">
            <w:pPr>
              <w:spacing w:before="40" w:after="40"/>
              <w:jc w:val="center"/>
              <w:rPr>
                <w:rFonts w:hint="eastAsia" w:ascii="仿宋" w:hAnsi="仿宋" w:eastAsia="仿宋" w:cs="仿宋"/>
                <w:color w:val="000000"/>
                <w:sz w:val="18"/>
                <w:szCs w:val="18"/>
                <w:lang w:val="en-US" w:eastAsia="zh-CN" w:bidi="ar-SA"/>
              </w:rPr>
            </w:pPr>
            <w:r>
              <w:rPr>
                <w:rFonts w:hint="eastAsia" w:ascii="仿宋" w:hAnsi="仿宋" w:eastAsia="仿宋" w:cs="仿宋"/>
                <w:sz w:val="18"/>
                <w:szCs w:val="18"/>
                <w:lang w:val="en-US" w:eastAsia="zh-CN"/>
              </w:rPr>
              <w:t>2</w:t>
            </w:r>
          </w:p>
        </w:tc>
        <w:tc>
          <w:tcPr>
            <w:tcW w:w="2155" w:type="dxa"/>
            <w:shd w:val="clear" w:color="auto" w:fill="auto"/>
            <w:vAlign w:val="center"/>
          </w:tcPr>
          <w:p w14:paraId="592C5825">
            <w:pPr>
              <w:spacing w:before="40" w:after="40"/>
              <w:jc w:val="left"/>
              <w:rPr>
                <w:rFonts w:ascii="仿宋" w:hAnsi="仿宋" w:eastAsia="仿宋" w:cs="仿宋"/>
                <w:color w:val="000000"/>
                <w:sz w:val="18"/>
                <w:szCs w:val="18"/>
                <w:lang w:val="en-US" w:eastAsia="zh-CN" w:bidi="ar-SA"/>
              </w:rPr>
            </w:pPr>
            <w:r>
              <w:rPr>
                <w:rFonts w:hint="eastAsia" w:ascii="仿宋" w:hAnsi="仿宋" w:eastAsia="仿宋" w:cs="仿宋"/>
                <w:sz w:val="18"/>
                <w:szCs w:val="18"/>
              </w:rPr>
              <w:t>车工（数控车工）</w:t>
            </w:r>
          </w:p>
        </w:tc>
        <w:tc>
          <w:tcPr>
            <w:tcW w:w="1610" w:type="dxa"/>
            <w:shd w:val="clear" w:color="auto" w:fill="auto"/>
            <w:vAlign w:val="center"/>
          </w:tcPr>
          <w:p w14:paraId="36459E08">
            <w:pPr>
              <w:spacing w:before="40" w:after="40"/>
              <w:jc w:val="center"/>
              <w:rPr>
                <w:rFonts w:ascii="仿宋" w:hAnsi="仿宋" w:eastAsia="仿宋" w:cs="仿宋"/>
                <w:color w:val="000000"/>
                <w:sz w:val="18"/>
                <w:szCs w:val="18"/>
                <w:lang w:val="en-US" w:eastAsia="zh-CN" w:bidi="ar-SA"/>
              </w:rPr>
            </w:pPr>
            <w:r>
              <w:rPr>
                <w:rFonts w:hint="eastAsia" w:ascii="仿宋" w:hAnsi="仿宋" w:eastAsia="仿宋" w:cs="仿宋"/>
                <w:sz w:val="18"/>
                <w:szCs w:val="18"/>
              </w:rPr>
              <w:t>三级（高级）</w:t>
            </w:r>
          </w:p>
        </w:tc>
        <w:tc>
          <w:tcPr>
            <w:tcW w:w="1508" w:type="dxa"/>
            <w:shd w:val="clear" w:color="auto" w:fill="auto"/>
            <w:vAlign w:val="center"/>
          </w:tcPr>
          <w:p w14:paraId="0C7F5F4E">
            <w:pPr>
              <w:spacing w:before="40" w:after="40"/>
              <w:jc w:val="center"/>
              <w:rPr>
                <w:rFonts w:ascii="仿宋" w:hAnsi="仿宋" w:eastAsia="仿宋" w:cs="仿宋"/>
                <w:color w:val="auto"/>
                <w:sz w:val="18"/>
                <w:szCs w:val="18"/>
                <w:lang w:val="en-US" w:eastAsia="zh-CN" w:bidi="ar-SA"/>
              </w:rPr>
            </w:pPr>
            <w:r>
              <w:rPr>
                <w:rFonts w:hint="eastAsia" w:ascii="仿宋" w:hAnsi="仿宋" w:eastAsia="仿宋" w:cs="仿宋"/>
                <w:sz w:val="18"/>
                <w:szCs w:val="18"/>
              </w:rPr>
              <w:t>2026年</w:t>
            </w:r>
            <w:r>
              <w:rPr>
                <w:rFonts w:hint="eastAsia" w:ascii="仿宋" w:hAnsi="仿宋" w:eastAsia="仿宋" w:cs="仿宋"/>
                <w:sz w:val="18"/>
                <w:szCs w:val="18"/>
                <w:lang w:val="en-US" w:eastAsia="zh-CN"/>
              </w:rPr>
              <w:t>11</w:t>
            </w:r>
            <w:r>
              <w:rPr>
                <w:rFonts w:hint="eastAsia" w:ascii="仿宋" w:hAnsi="仿宋" w:eastAsia="仿宋" w:cs="仿宋"/>
                <w:sz w:val="18"/>
                <w:szCs w:val="18"/>
              </w:rPr>
              <w:t>月</w:t>
            </w:r>
            <w:r>
              <w:rPr>
                <w:rFonts w:hint="eastAsia" w:ascii="仿宋" w:hAnsi="仿宋" w:eastAsia="仿宋" w:cs="仿宋"/>
                <w:sz w:val="18"/>
                <w:szCs w:val="18"/>
                <w:lang w:val="en-US" w:eastAsia="zh-CN"/>
              </w:rPr>
              <w:t>9</w:t>
            </w:r>
            <w:r>
              <w:rPr>
                <w:rFonts w:hint="eastAsia" w:ascii="仿宋" w:hAnsi="仿宋" w:eastAsia="仿宋" w:cs="仿宋"/>
                <w:sz w:val="18"/>
                <w:szCs w:val="18"/>
              </w:rPr>
              <w:t>日至</w:t>
            </w:r>
            <w:r>
              <w:rPr>
                <w:rFonts w:hint="eastAsia" w:ascii="仿宋" w:hAnsi="仿宋" w:eastAsia="仿宋" w:cs="仿宋"/>
                <w:sz w:val="18"/>
                <w:szCs w:val="18"/>
                <w:lang w:val="en-US" w:eastAsia="zh-CN"/>
              </w:rPr>
              <w:t>11</w:t>
            </w:r>
            <w:r>
              <w:rPr>
                <w:rFonts w:hint="eastAsia" w:ascii="仿宋" w:hAnsi="仿宋" w:eastAsia="仿宋" w:cs="仿宋"/>
                <w:sz w:val="18"/>
                <w:szCs w:val="18"/>
              </w:rPr>
              <w:t>月</w:t>
            </w:r>
            <w:r>
              <w:rPr>
                <w:rFonts w:hint="eastAsia" w:ascii="仿宋" w:hAnsi="仿宋" w:eastAsia="仿宋" w:cs="仿宋"/>
                <w:sz w:val="18"/>
                <w:szCs w:val="18"/>
                <w:lang w:val="en-US" w:eastAsia="zh-CN"/>
              </w:rPr>
              <w:t>13</w:t>
            </w:r>
            <w:r>
              <w:rPr>
                <w:rFonts w:hint="eastAsia" w:ascii="仿宋" w:hAnsi="仿宋" w:eastAsia="仿宋" w:cs="仿宋"/>
                <w:sz w:val="18"/>
                <w:szCs w:val="18"/>
              </w:rPr>
              <w:t>日</w:t>
            </w:r>
          </w:p>
        </w:tc>
        <w:tc>
          <w:tcPr>
            <w:tcW w:w="1880" w:type="dxa"/>
            <w:shd w:val="clear" w:color="auto" w:fill="auto"/>
            <w:vAlign w:val="center"/>
          </w:tcPr>
          <w:p w14:paraId="0816B248">
            <w:pPr>
              <w:spacing w:before="40" w:after="40"/>
              <w:jc w:val="center"/>
              <w:rPr>
                <w:rFonts w:ascii="仿宋" w:hAnsi="仿宋" w:eastAsia="仿宋" w:cs="仿宋"/>
                <w:color w:val="FF0000"/>
                <w:sz w:val="18"/>
                <w:szCs w:val="18"/>
                <w:lang w:val="en-US" w:eastAsia="zh-CN" w:bidi="ar-SA"/>
              </w:rPr>
            </w:pPr>
            <w:r>
              <w:rPr>
                <w:rFonts w:hint="eastAsia" w:ascii="仿宋" w:hAnsi="仿宋" w:eastAsia="仿宋" w:cs="仿宋"/>
                <w:sz w:val="18"/>
                <w:szCs w:val="18"/>
              </w:rPr>
              <w:t>2026年1</w:t>
            </w:r>
            <w:r>
              <w:rPr>
                <w:rFonts w:hint="eastAsia" w:ascii="仿宋" w:hAnsi="仿宋" w:eastAsia="仿宋" w:cs="仿宋"/>
                <w:sz w:val="18"/>
                <w:szCs w:val="18"/>
                <w:lang w:val="en-US" w:eastAsia="zh-CN"/>
              </w:rPr>
              <w:t>1</w:t>
            </w:r>
            <w:r>
              <w:rPr>
                <w:rFonts w:hint="eastAsia" w:ascii="仿宋" w:hAnsi="仿宋" w:eastAsia="仿宋" w:cs="仿宋"/>
                <w:sz w:val="18"/>
                <w:szCs w:val="18"/>
              </w:rPr>
              <w:t>月</w:t>
            </w:r>
            <w:r>
              <w:rPr>
                <w:rFonts w:hint="eastAsia" w:ascii="仿宋" w:hAnsi="仿宋" w:eastAsia="仿宋" w:cs="仿宋"/>
                <w:sz w:val="18"/>
                <w:szCs w:val="18"/>
                <w:lang w:val="en-US" w:eastAsia="zh-CN"/>
              </w:rPr>
              <w:t>2</w:t>
            </w:r>
            <w:r>
              <w:rPr>
                <w:rFonts w:hint="eastAsia" w:ascii="仿宋" w:hAnsi="仿宋" w:eastAsia="仿宋" w:cs="仿宋"/>
                <w:sz w:val="18"/>
                <w:szCs w:val="18"/>
              </w:rPr>
              <w:t>8日</w:t>
            </w:r>
          </w:p>
        </w:tc>
        <w:tc>
          <w:tcPr>
            <w:tcW w:w="1748" w:type="dxa"/>
            <w:shd w:val="clear" w:color="auto" w:fill="auto"/>
            <w:vAlign w:val="center"/>
          </w:tcPr>
          <w:p w14:paraId="344FED70">
            <w:pPr>
              <w:spacing w:before="40" w:after="40"/>
              <w:jc w:val="center"/>
              <w:rPr>
                <w:rFonts w:ascii="仿宋" w:hAnsi="仿宋" w:eastAsia="仿宋" w:cs="仿宋"/>
                <w:color w:val="000000"/>
                <w:sz w:val="18"/>
                <w:szCs w:val="18"/>
                <w:lang w:val="en-US" w:eastAsia="zh-CN" w:bidi="ar-SA"/>
              </w:rPr>
            </w:pPr>
            <w:r>
              <w:rPr>
                <w:rFonts w:hint="eastAsia" w:ascii="仿宋" w:hAnsi="仿宋" w:eastAsia="仿宋" w:cs="仿宋"/>
                <w:sz w:val="18"/>
                <w:szCs w:val="18"/>
              </w:rPr>
              <w:t>理论</w:t>
            </w:r>
            <w:r>
              <w:rPr>
                <w:rFonts w:hint="eastAsia" w:ascii="仿宋" w:hAnsi="仿宋" w:eastAsia="仿宋" w:cs="仿宋"/>
                <w:sz w:val="18"/>
                <w:szCs w:val="18"/>
                <w:lang w:val="en-US" w:eastAsia="zh-CN"/>
              </w:rPr>
              <w:t>按本专业学科成绩认定</w:t>
            </w:r>
            <w:r>
              <w:rPr>
                <w:rFonts w:hint="eastAsia" w:ascii="仿宋" w:hAnsi="仿宋" w:eastAsia="仿宋" w:cs="仿宋"/>
                <w:sz w:val="18"/>
                <w:szCs w:val="18"/>
              </w:rPr>
              <w:t>、技能</w:t>
            </w:r>
            <w:r>
              <w:rPr>
                <w:rFonts w:hint="eastAsia" w:ascii="仿宋" w:hAnsi="仿宋" w:eastAsia="仿宋" w:cs="仿宋"/>
                <w:sz w:val="18"/>
                <w:szCs w:val="18"/>
                <w:lang w:val="en-US" w:eastAsia="zh-CN"/>
              </w:rPr>
              <w:t>按实操考核认定</w:t>
            </w:r>
          </w:p>
        </w:tc>
      </w:tr>
      <w:tr w14:paraId="0A07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shd w:val="clear" w:color="auto" w:fill="auto"/>
            <w:vAlign w:val="center"/>
          </w:tcPr>
          <w:p w14:paraId="0730EC87">
            <w:pPr>
              <w:spacing w:before="40" w:after="40"/>
              <w:jc w:val="center"/>
              <w:rPr>
                <w:rFonts w:hint="eastAsia" w:ascii="仿宋" w:hAnsi="仿宋" w:eastAsia="仿宋" w:cs="仿宋"/>
                <w:color w:val="000000"/>
                <w:sz w:val="18"/>
                <w:szCs w:val="18"/>
                <w:lang w:val="en-US" w:eastAsia="zh-CN" w:bidi="ar-SA"/>
              </w:rPr>
            </w:pPr>
            <w:r>
              <w:rPr>
                <w:rFonts w:hint="eastAsia" w:ascii="仿宋" w:hAnsi="仿宋" w:eastAsia="仿宋" w:cs="仿宋"/>
                <w:sz w:val="18"/>
                <w:szCs w:val="18"/>
                <w:lang w:val="en-US" w:eastAsia="zh-CN"/>
              </w:rPr>
              <w:t>3</w:t>
            </w:r>
          </w:p>
        </w:tc>
        <w:tc>
          <w:tcPr>
            <w:tcW w:w="2155" w:type="dxa"/>
            <w:shd w:val="clear" w:color="auto" w:fill="auto"/>
            <w:vAlign w:val="center"/>
          </w:tcPr>
          <w:p w14:paraId="62EA61E4">
            <w:pPr>
              <w:spacing w:before="40" w:after="40"/>
              <w:jc w:val="left"/>
              <w:rPr>
                <w:rFonts w:ascii="仿宋" w:hAnsi="仿宋" w:eastAsia="仿宋" w:cs="仿宋"/>
                <w:color w:val="000000"/>
                <w:sz w:val="18"/>
                <w:szCs w:val="18"/>
                <w:lang w:val="en-US" w:eastAsia="zh-CN" w:bidi="ar-SA"/>
              </w:rPr>
            </w:pPr>
            <w:r>
              <w:rPr>
                <w:rFonts w:hint="eastAsia" w:ascii="仿宋" w:hAnsi="仿宋" w:eastAsia="仿宋" w:cs="仿宋"/>
                <w:sz w:val="18"/>
                <w:szCs w:val="18"/>
              </w:rPr>
              <w:t>铣工（数控铣工）</w:t>
            </w:r>
          </w:p>
        </w:tc>
        <w:tc>
          <w:tcPr>
            <w:tcW w:w="1610" w:type="dxa"/>
            <w:shd w:val="clear" w:color="auto" w:fill="auto"/>
            <w:vAlign w:val="center"/>
          </w:tcPr>
          <w:p w14:paraId="46B3CB39">
            <w:pPr>
              <w:spacing w:before="40" w:after="40"/>
              <w:jc w:val="center"/>
              <w:rPr>
                <w:rFonts w:ascii="仿宋" w:hAnsi="仿宋" w:eastAsia="仿宋" w:cs="仿宋"/>
                <w:color w:val="000000"/>
                <w:sz w:val="18"/>
                <w:szCs w:val="18"/>
                <w:lang w:val="en-US" w:eastAsia="zh-CN" w:bidi="ar-SA"/>
              </w:rPr>
            </w:pPr>
            <w:r>
              <w:rPr>
                <w:rFonts w:hint="eastAsia" w:ascii="仿宋" w:hAnsi="仿宋" w:eastAsia="仿宋" w:cs="仿宋"/>
                <w:sz w:val="18"/>
                <w:szCs w:val="18"/>
              </w:rPr>
              <w:t>三级（高级）</w:t>
            </w:r>
          </w:p>
        </w:tc>
        <w:tc>
          <w:tcPr>
            <w:tcW w:w="1508" w:type="dxa"/>
            <w:shd w:val="clear" w:color="auto" w:fill="auto"/>
            <w:vAlign w:val="center"/>
          </w:tcPr>
          <w:p w14:paraId="5497789A">
            <w:pPr>
              <w:spacing w:before="40" w:after="40"/>
              <w:jc w:val="center"/>
              <w:rPr>
                <w:rFonts w:ascii="仿宋" w:hAnsi="仿宋" w:eastAsia="仿宋" w:cs="仿宋"/>
                <w:color w:val="auto"/>
                <w:sz w:val="18"/>
                <w:szCs w:val="18"/>
                <w:lang w:val="en-US" w:eastAsia="zh-CN" w:bidi="ar-SA"/>
              </w:rPr>
            </w:pPr>
            <w:r>
              <w:rPr>
                <w:rFonts w:hint="eastAsia" w:ascii="仿宋" w:hAnsi="仿宋" w:eastAsia="仿宋" w:cs="仿宋"/>
                <w:sz w:val="18"/>
                <w:szCs w:val="18"/>
              </w:rPr>
              <w:t>2026年</w:t>
            </w:r>
            <w:r>
              <w:rPr>
                <w:rFonts w:hint="eastAsia" w:ascii="仿宋" w:hAnsi="仿宋" w:eastAsia="仿宋" w:cs="仿宋"/>
                <w:sz w:val="18"/>
                <w:szCs w:val="18"/>
                <w:lang w:val="en-US" w:eastAsia="zh-CN"/>
              </w:rPr>
              <w:t>11</w:t>
            </w:r>
            <w:r>
              <w:rPr>
                <w:rFonts w:hint="eastAsia" w:ascii="仿宋" w:hAnsi="仿宋" w:eastAsia="仿宋" w:cs="仿宋"/>
                <w:sz w:val="18"/>
                <w:szCs w:val="18"/>
              </w:rPr>
              <w:t>月</w:t>
            </w:r>
            <w:r>
              <w:rPr>
                <w:rFonts w:hint="eastAsia" w:ascii="仿宋" w:hAnsi="仿宋" w:eastAsia="仿宋" w:cs="仿宋"/>
                <w:sz w:val="18"/>
                <w:szCs w:val="18"/>
                <w:lang w:val="en-US" w:eastAsia="zh-CN"/>
              </w:rPr>
              <w:t>9</w:t>
            </w:r>
            <w:r>
              <w:rPr>
                <w:rFonts w:hint="eastAsia" w:ascii="仿宋" w:hAnsi="仿宋" w:eastAsia="仿宋" w:cs="仿宋"/>
                <w:sz w:val="18"/>
                <w:szCs w:val="18"/>
              </w:rPr>
              <w:t>日至</w:t>
            </w:r>
            <w:r>
              <w:rPr>
                <w:rFonts w:hint="eastAsia" w:ascii="仿宋" w:hAnsi="仿宋" w:eastAsia="仿宋" w:cs="仿宋"/>
                <w:sz w:val="18"/>
                <w:szCs w:val="18"/>
                <w:lang w:val="en-US" w:eastAsia="zh-CN"/>
              </w:rPr>
              <w:t>11</w:t>
            </w:r>
            <w:r>
              <w:rPr>
                <w:rFonts w:hint="eastAsia" w:ascii="仿宋" w:hAnsi="仿宋" w:eastAsia="仿宋" w:cs="仿宋"/>
                <w:sz w:val="18"/>
                <w:szCs w:val="18"/>
              </w:rPr>
              <w:t>月</w:t>
            </w:r>
            <w:r>
              <w:rPr>
                <w:rFonts w:hint="eastAsia" w:ascii="仿宋" w:hAnsi="仿宋" w:eastAsia="仿宋" w:cs="仿宋"/>
                <w:sz w:val="18"/>
                <w:szCs w:val="18"/>
                <w:lang w:val="en-US" w:eastAsia="zh-CN"/>
              </w:rPr>
              <w:t>13</w:t>
            </w:r>
            <w:r>
              <w:rPr>
                <w:rFonts w:hint="eastAsia" w:ascii="仿宋" w:hAnsi="仿宋" w:eastAsia="仿宋" w:cs="仿宋"/>
                <w:sz w:val="18"/>
                <w:szCs w:val="18"/>
              </w:rPr>
              <w:t>日</w:t>
            </w:r>
          </w:p>
        </w:tc>
        <w:tc>
          <w:tcPr>
            <w:tcW w:w="1880" w:type="dxa"/>
            <w:shd w:val="clear" w:color="auto" w:fill="auto"/>
            <w:vAlign w:val="center"/>
          </w:tcPr>
          <w:p w14:paraId="74BAB796">
            <w:pPr>
              <w:spacing w:before="40" w:after="40"/>
              <w:jc w:val="center"/>
              <w:rPr>
                <w:rFonts w:ascii="仿宋" w:hAnsi="仿宋" w:eastAsia="仿宋" w:cs="仿宋"/>
                <w:color w:val="FF0000"/>
                <w:sz w:val="18"/>
                <w:szCs w:val="18"/>
                <w:lang w:val="en-US" w:eastAsia="zh-CN" w:bidi="ar-SA"/>
              </w:rPr>
            </w:pPr>
            <w:r>
              <w:rPr>
                <w:rFonts w:hint="eastAsia" w:ascii="仿宋" w:hAnsi="仿宋" w:eastAsia="仿宋" w:cs="仿宋"/>
                <w:sz w:val="18"/>
                <w:szCs w:val="18"/>
              </w:rPr>
              <w:t>2026年1</w:t>
            </w:r>
            <w:r>
              <w:rPr>
                <w:rFonts w:hint="eastAsia" w:ascii="仿宋" w:hAnsi="仿宋" w:eastAsia="仿宋" w:cs="仿宋"/>
                <w:sz w:val="18"/>
                <w:szCs w:val="18"/>
                <w:lang w:val="en-US" w:eastAsia="zh-CN"/>
              </w:rPr>
              <w:t>1</w:t>
            </w:r>
            <w:r>
              <w:rPr>
                <w:rFonts w:hint="eastAsia" w:ascii="仿宋" w:hAnsi="仿宋" w:eastAsia="仿宋" w:cs="仿宋"/>
                <w:sz w:val="18"/>
                <w:szCs w:val="18"/>
              </w:rPr>
              <w:t>月</w:t>
            </w:r>
            <w:r>
              <w:rPr>
                <w:rFonts w:hint="eastAsia" w:ascii="仿宋" w:hAnsi="仿宋" w:eastAsia="仿宋" w:cs="仿宋"/>
                <w:sz w:val="18"/>
                <w:szCs w:val="18"/>
                <w:lang w:val="en-US" w:eastAsia="zh-CN"/>
              </w:rPr>
              <w:t>2</w:t>
            </w:r>
            <w:r>
              <w:rPr>
                <w:rFonts w:hint="eastAsia" w:ascii="仿宋" w:hAnsi="仿宋" w:eastAsia="仿宋" w:cs="仿宋"/>
                <w:sz w:val="18"/>
                <w:szCs w:val="18"/>
              </w:rPr>
              <w:t>8日</w:t>
            </w:r>
          </w:p>
        </w:tc>
        <w:tc>
          <w:tcPr>
            <w:tcW w:w="1748" w:type="dxa"/>
            <w:shd w:val="clear" w:color="auto" w:fill="auto"/>
            <w:vAlign w:val="center"/>
          </w:tcPr>
          <w:p w14:paraId="2E13C3DD">
            <w:pPr>
              <w:spacing w:before="40" w:after="40"/>
              <w:jc w:val="center"/>
              <w:rPr>
                <w:rFonts w:ascii="仿宋" w:hAnsi="仿宋" w:eastAsia="仿宋" w:cs="仿宋"/>
                <w:color w:val="000000"/>
                <w:sz w:val="18"/>
                <w:szCs w:val="18"/>
                <w:lang w:val="en-US" w:eastAsia="zh-CN" w:bidi="ar-SA"/>
              </w:rPr>
            </w:pPr>
            <w:r>
              <w:rPr>
                <w:rFonts w:hint="eastAsia" w:ascii="仿宋" w:hAnsi="仿宋" w:eastAsia="仿宋" w:cs="仿宋"/>
                <w:sz w:val="18"/>
                <w:szCs w:val="18"/>
              </w:rPr>
              <w:t>理论</w:t>
            </w:r>
            <w:r>
              <w:rPr>
                <w:rFonts w:hint="eastAsia" w:ascii="仿宋" w:hAnsi="仿宋" w:eastAsia="仿宋" w:cs="仿宋"/>
                <w:sz w:val="18"/>
                <w:szCs w:val="18"/>
                <w:lang w:val="en-US" w:eastAsia="zh-CN"/>
              </w:rPr>
              <w:t>按本专业学科成绩认定</w:t>
            </w:r>
            <w:r>
              <w:rPr>
                <w:rFonts w:hint="eastAsia" w:ascii="仿宋" w:hAnsi="仿宋" w:eastAsia="仿宋" w:cs="仿宋"/>
                <w:sz w:val="18"/>
                <w:szCs w:val="18"/>
              </w:rPr>
              <w:t>、技能</w:t>
            </w:r>
            <w:r>
              <w:rPr>
                <w:rFonts w:hint="eastAsia" w:ascii="仿宋" w:hAnsi="仿宋" w:eastAsia="仿宋" w:cs="仿宋"/>
                <w:sz w:val="18"/>
                <w:szCs w:val="18"/>
                <w:lang w:val="en-US" w:eastAsia="zh-CN"/>
              </w:rPr>
              <w:t>按实操考核认定</w:t>
            </w:r>
          </w:p>
        </w:tc>
      </w:tr>
    </w:tbl>
    <w:p w14:paraId="310D2BBC">
      <w:pPr>
        <w:spacing w:line="520" w:lineRule="exact"/>
        <w:ind w:firstLine="643" w:firstLineChars="200"/>
        <w:jc w:val="left"/>
        <w:rPr>
          <w:rFonts w:asciiTheme="minorEastAsia" w:hAnsiTheme="minorEastAsia" w:eastAsiaTheme="minorEastAsia"/>
          <w:sz w:val="32"/>
          <w:szCs w:val="32"/>
        </w:rPr>
      </w:pPr>
      <w:r>
        <w:rPr>
          <w:rStyle w:val="16"/>
          <w:rFonts w:hint="eastAsia" w:asciiTheme="minorEastAsia" w:hAnsiTheme="minorEastAsia" w:eastAsiaTheme="minorEastAsia"/>
          <w:sz w:val="32"/>
          <w:szCs w:val="32"/>
        </w:rPr>
        <w:t>二、申报条件</w:t>
      </w:r>
    </w:p>
    <w:p w14:paraId="0AB0F3F6">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一</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四级申报条件（</w:t>
      </w:r>
      <w:r>
        <w:rPr>
          <w:rFonts w:hint="eastAsia" w:ascii="仿宋_GB2312" w:eastAsia="仿宋_GB2312"/>
          <w:sz w:val="32"/>
          <w:szCs w:val="32"/>
        </w:rPr>
        <w:t>具备以下任意条件，可申报四级</w:t>
      </w:r>
      <w:r>
        <w:rPr>
          <w:rFonts w:hint="eastAsia" w:ascii="仿宋_GB2312" w:hAnsi="仿宋" w:eastAsia="仿宋_GB2312" w:cs="仿宋"/>
          <w:sz w:val="32"/>
          <w:szCs w:val="32"/>
        </w:rPr>
        <w:t>）</w:t>
      </w:r>
    </w:p>
    <w:p w14:paraId="35EB6F2B">
      <w:pPr>
        <w:pStyle w:val="12"/>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1、累计从事本职业或相关职业工作满5年。</w:t>
      </w:r>
    </w:p>
    <w:p w14:paraId="1A02D7E6">
      <w:pPr>
        <w:pStyle w:val="12"/>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2、取得本职业或相关职业五级/初级工职业资格（职业技能等级）证书后，累计从事本职业或相关职业工作满3年。</w:t>
      </w:r>
    </w:p>
    <w:p w14:paraId="68E107C1">
      <w:pPr>
        <w:pStyle w:val="12"/>
        <w:spacing w:before="0" w:beforeAutospacing="0" w:after="0" w:afterAutospacing="0" w:line="560" w:lineRule="exact"/>
        <w:ind w:firstLine="640" w:firstLineChars="200"/>
        <w:rPr>
          <w:rFonts w:hint="eastAsia" w:ascii="仿宋_GB2312" w:eastAsia="仿宋_GB2312"/>
          <w:sz w:val="32"/>
          <w:szCs w:val="32"/>
        </w:rPr>
      </w:pPr>
      <w:r>
        <w:rPr>
          <w:rFonts w:hint="eastAsia" w:ascii="仿宋_GB2312" w:eastAsia="仿宋_GB2312"/>
          <w:sz w:val="32"/>
          <w:szCs w:val="32"/>
        </w:rPr>
        <w:t>3、取得本专业或相关专业的技工院校或中等及以上职业院校、专科及以上普通高等学校毕业证书（含在读应届毕业生）。</w:t>
      </w:r>
    </w:p>
    <w:p w14:paraId="161749FD">
      <w:pPr>
        <w:spacing w:line="540" w:lineRule="exact"/>
        <w:ind w:firstLine="640" w:firstLineChars="200"/>
        <w:jc w:val="left"/>
        <w:rPr>
          <w:rFonts w:ascii="仿宋_GB2312" w:eastAsia="仿宋_GB2312" w:hAnsiTheme="minorEastAsia"/>
          <w:sz w:val="32"/>
          <w:szCs w:val="32"/>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二</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三级申报条件（</w:t>
      </w:r>
      <w:r>
        <w:rPr>
          <w:rFonts w:hint="eastAsia" w:ascii="仿宋_GB2312" w:eastAsia="仿宋_GB2312"/>
          <w:sz w:val="32"/>
          <w:szCs w:val="32"/>
        </w:rPr>
        <w:t>具备以下任意条件，可申报三级</w:t>
      </w:r>
      <w:r>
        <w:rPr>
          <w:rFonts w:hint="eastAsia" w:ascii="仿宋_GB2312" w:hAnsi="仿宋" w:eastAsia="仿宋_GB2312" w:cs="仿宋"/>
          <w:sz w:val="32"/>
          <w:szCs w:val="32"/>
        </w:rPr>
        <w:t>）</w:t>
      </w:r>
    </w:p>
    <w:p w14:paraId="1D6DC331">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(1)累计从事本职业或相关职业工作满10年。</w:t>
      </w:r>
    </w:p>
    <w:p w14:paraId="2C5BD9BF">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(2)取得本职业或相关职业四级/中级工职业资格(职业技</w:t>
      </w:r>
      <w:r>
        <w:rPr>
          <w:rFonts w:hint="eastAsia" w:ascii="仿宋_GB2312" w:eastAsia="仿宋_GB2312" w:hAnsiTheme="minorEastAsia"/>
          <w:color w:val="000000" w:themeColor="text1"/>
          <w:sz w:val="32"/>
          <w:szCs w:val="32"/>
          <w:lang w:val="en-US" w:eastAsia="zh-CN"/>
          <w14:textFill>
            <w14:solidFill>
              <w14:schemeClr w14:val="tx1"/>
            </w14:solidFill>
          </w14:textFill>
        </w:rPr>
        <w:t>能</w:t>
      </w:r>
      <w:r>
        <w:rPr>
          <w:rFonts w:hint="eastAsia" w:ascii="仿宋_GB2312" w:eastAsia="仿宋_GB2312" w:hAnsiTheme="minorEastAsia"/>
          <w:color w:val="000000" w:themeColor="text1"/>
          <w:sz w:val="32"/>
          <w:szCs w:val="32"/>
          <w14:textFill>
            <w14:solidFill>
              <w14:schemeClr w14:val="tx1"/>
            </w14:solidFill>
          </w14:textFill>
        </w:rPr>
        <w:t>等级)证书后，累计从事本职业或相关职业工作满4年。</w:t>
      </w:r>
    </w:p>
    <w:p w14:paraId="241ADAD2">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(3)取得符合专业对应关系的初级职称(专业技术人员职业资格)后，累计从事本职业或相关职业工作满1年。</w:t>
      </w:r>
    </w:p>
    <w:p w14:paraId="2FB76509">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(4)取得本专业或相关专业的技工院校高级工班及以上毕业证书(含在读应届毕业生)。</w:t>
      </w:r>
    </w:p>
    <w:p w14:paraId="543C23E1">
      <w:pPr>
        <w:spacing w:line="540" w:lineRule="exact"/>
        <w:ind w:firstLine="640" w:firstLineChars="200"/>
        <w:rPr>
          <w:rFonts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color w:val="000000" w:themeColor="text1"/>
          <w:sz w:val="32"/>
          <w:szCs w:val="32"/>
          <w14:textFill>
            <w14:solidFill>
              <w14:schemeClr w14:val="tx1"/>
            </w14:solidFill>
          </w14:textFill>
        </w:rPr>
        <w:t>(5)取得本职业或相关职业四级/中级工职业资格(职业技能等级)证书，并取得高等职业学校、专科及以上普通高等学校本专业或相关专业毕业证书(含在读应届毕业生)。</w:t>
      </w:r>
    </w:p>
    <w:p w14:paraId="07BB182D">
      <w:pPr>
        <w:spacing w:line="540" w:lineRule="exact"/>
        <w:ind w:firstLine="640" w:firstLineChars="200"/>
        <w:rPr>
          <w:rFonts w:hint="eastAsia" w:ascii="仿宋_GB2312" w:eastAsia="仿宋_GB2312"/>
          <w:sz w:val="32"/>
          <w:szCs w:val="32"/>
        </w:rPr>
      </w:pPr>
      <w:r>
        <w:rPr>
          <w:rFonts w:hint="eastAsia" w:ascii="仿宋_GB2312" w:eastAsia="仿宋_GB2312" w:hAnsiTheme="minorEastAsia"/>
          <w:color w:val="000000" w:themeColor="text1"/>
          <w:sz w:val="32"/>
          <w:szCs w:val="32"/>
          <w14:textFill>
            <w14:solidFill>
              <w14:schemeClr w14:val="tx1"/>
            </w14:solidFill>
          </w14:textFill>
        </w:rPr>
        <w:t>(6)取得经评估论证的高等职业学校、专科及以上普通高等学校本专业或相关专业的毕业证书(含在读应届毕业生)</w:t>
      </w:r>
      <w:r>
        <w:rPr>
          <w:rFonts w:hint="eastAsia" w:ascii="仿宋_GB2312" w:hAnsi="仿宋" w:eastAsia="仿宋_GB2312" w:cs="仿宋"/>
          <w:color w:val="0000FF"/>
          <w:sz w:val="32"/>
          <w:szCs w:val="32"/>
        </w:rPr>
        <w:t>。</w:t>
      </w:r>
    </w:p>
    <w:p w14:paraId="607D399C">
      <w:pPr>
        <w:spacing w:line="560" w:lineRule="exact"/>
        <w:ind w:firstLine="643" w:firstLineChars="20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三、认定评价内容和方式</w:t>
      </w:r>
    </w:p>
    <w:p w14:paraId="26CF9429">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（一）理论考核：按学生</w:t>
      </w:r>
      <w:r>
        <w:rPr>
          <w:rFonts w:hint="eastAsia" w:ascii="仿宋_GB2312" w:hAnsi="仿宋" w:eastAsia="仿宋_GB2312" w:cs="仿宋"/>
          <w:sz w:val="32"/>
          <w:szCs w:val="32"/>
          <w:lang w:val="en-US" w:eastAsia="zh-CN"/>
        </w:rPr>
        <w:t>本专业学科成绩认定</w:t>
      </w:r>
    </w:p>
    <w:p w14:paraId="381993E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（二）技能考核：</w:t>
      </w:r>
      <w:r>
        <w:rPr>
          <w:rFonts w:hint="eastAsia" w:ascii="仿宋_GB2312" w:hAnsi="仿宋" w:eastAsia="仿宋_GB2312" w:cs="仿宋"/>
          <w:sz w:val="32"/>
          <w:szCs w:val="32"/>
          <w:lang w:val="en-US" w:eastAsia="zh-CN"/>
        </w:rPr>
        <w:t>按学生实操考核成绩认定</w:t>
      </w:r>
    </w:p>
    <w:p w14:paraId="0985C1B4">
      <w:pPr>
        <w:spacing w:line="560" w:lineRule="exact"/>
        <w:ind w:firstLine="643" w:firstLineChars="20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四、认定评价时间</w:t>
      </w:r>
    </w:p>
    <w:p w14:paraId="3B5756F6">
      <w:pPr>
        <w:spacing w:line="560" w:lineRule="exact"/>
        <w:ind w:firstLine="640" w:firstLineChars="200"/>
        <w:rPr>
          <w:rFonts w:ascii="仿宋_GB2312" w:hAnsi="仿宋" w:eastAsia="仿宋_GB2312" w:cs="仿宋"/>
          <w:color w:val="auto"/>
          <w:sz w:val="32"/>
          <w:szCs w:val="32"/>
        </w:rPr>
      </w:pPr>
      <w:r>
        <w:rPr>
          <w:rFonts w:hint="eastAsia" w:ascii="仿宋_GB2312" w:hAnsi="仿宋" w:eastAsia="仿宋_GB2312" w:cs="仿宋"/>
          <w:color w:val="auto"/>
          <w:sz w:val="32"/>
          <w:szCs w:val="32"/>
        </w:rPr>
        <w:t>2026年</w:t>
      </w:r>
      <w:r>
        <w:rPr>
          <w:rFonts w:hint="eastAsia" w:ascii="仿宋_GB2312" w:hAnsi="仿宋" w:eastAsia="仿宋_GB2312" w:cs="仿宋"/>
          <w:color w:val="auto"/>
          <w:sz w:val="32"/>
          <w:szCs w:val="32"/>
          <w:lang w:val="en-US" w:eastAsia="zh-CN"/>
        </w:rPr>
        <w:t>11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28</w:t>
      </w:r>
      <w:r>
        <w:rPr>
          <w:rFonts w:hint="eastAsia" w:ascii="仿宋_GB2312" w:hAnsi="仿宋" w:eastAsia="仿宋_GB2312" w:cs="仿宋"/>
          <w:color w:val="auto"/>
          <w:sz w:val="32"/>
          <w:szCs w:val="32"/>
        </w:rPr>
        <w:t>日</w:t>
      </w:r>
    </w:p>
    <w:p w14:paraId="2EFBFDEC">
      <w:pPr>
        <w:spacing w:line="560" w:lineRule="exact"/>
        <w:ind w:firstLine="643" w:firstLineChars="200"/>
        <w:rPr>
          <w:rFonts w:cs="仿宋" w:asciiTheme="minorEastAsia" w:hAnsiTheme="minorEastAsia" w:eastAsiaTheme="minorEastAsia"/>
          <w:b/>
          <w:bCs/>
          <w:color w:val="auto"/>
          <w:sz w:val="32"/>
          <w:szCs w:val="32"/>
        </w:rPr>
      </w:pPr>
      <w:r>
        <w:rPr>
          <w:rFonts w:hint="eastAsia" w:cs="仿宋" w:asciiTheme="minorEastAsia" w:hAnsiTheme="minorEastAsia" w:eastAsiaTheme="minorEastAsia"/>
          <w:b/>
          <w:bCs/>
          <w:color w:val="auto"/>
          <w:sz w:val="32"/>
          <w:szCs w:val="32"/>
        </w:rPr>
        <w:t>五、报名事宜</w:t>
      </w:r>
    </w:p>
    <w:p w14:paraId="0ECD3B63">
      <w:pPr>
        <w:spacing w:line="560" w:lineRule="exact"/>
        <w:ind w:firstLine="640" w:firstLineChars="200"/>
        <w:rPr>
          <w:rFonts w:ascii="仿宋_GB2312" w:hAnsi="仿宋" w:eastAsia="仿宋_GB2312" w:cs="仿宋"/>
          <w:color w:val="auto"/>
          <w:sz w:val="32"/>
          <w:szCs w:val="32"/>
        </w:rPr>
      </w:pPr>
      <w:r>
        <w:rPr>
          <w:rFonts w:hint="eastAsia" w:ascii="仿宋_GB2312" w:hAnsi="仿宋" w:eastAsia="仿宋_GB2312" w:cs="仿宋"/>
          <w:color w:val="auto"/>
          <w:sz w:val="32"/>
          <w:szCs w:val="32"/>
        </w:rPr>
        <w:t>（一）报名时间</w:t>
      </w:r>
    </w:p>
    <w:p w14:paraId="34DE60F3">
      <w:pPr>
        <w:spacing w:line="560" w:lineRule="exact"/>
        <w:ind w:firstLine="640" w:firstLineChars="200"/>
        <w:rPr>
          <w:rFonts w:ascii="仿宋_GB2312" w:hAnsi="仿宋" w:eastAsia="仿宋_GB2312" w:cs="仿宋"/>
          <w:color w:val="auto"/>
          <w:sz w:val="32"/>
          <w:szCs w:val="32"/>
        </w:rPr>
      </w:pPr>
      <w:r>
        <w:rPr>
          <w:rFonts w:hint="eastAsia" w:ascii="仿宋_GB2312" w:hAnsi="仿宋" w:eastAsia="仿宋_GB2312" w:cs="仿宋"/>
          <w:color w:val="auto"/>
          <w:sz w:val="32"/>
          <w:szCs w:val="32"/>
        </w:rPr>
        <w:t>2026年</w:t>
      </w:r>
      <w:r>
        <w:rPr>
          <w:rFonts w:hint="eastAsia" w:ascii="仿宋_GB2312" w:hAnsi="仿宋" w:eastAsia="仿宋_GB2312" w:cs="仿宋"/>
          <w:color w:val="auto"/>
          <w:sz w:val="32"/>
          <w:szCs w:val="32"/>
          <w:lang w:val="en-US" w:eastAsia="zh-CN"/>
        </w:rPr>
        <w:t>11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9</w:t>
      </w:r>
      <w:r>
        <w:rPr>
          <w:rFonts w:hint="eastAsia" w:ascii="仿宋_GB2312" w:hAnsi="仿宋" w:eastAsia="仿宋_GB2312" w:cs="仿宋"/>
          <w:color w:val="auto"/>
          <w:sz w:val="32"/>
          <w:szCs w:val="32"/>
        </w:rPr>
        <w:t>日至</w:t>
      </w:r>
      <w:r>
        <w:rPr>
          <w:rFonts w:hint="eastAsia" w:ascii="仿宋_GB2312" w:hAnsi="仿宋" w:eastAsia="仿宋_GB2312" w:cs="仿宋"/>
          <w:color w:val="auto"/>
          <w:sz w:val="32"/>
          <w:szCs w:val="32"/>
          <w:lang w:val="en-US" w:eastAsia="zh-CN"/>
        </w:rPr>
        <w:t>11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13</w:t>
      </w:r>
      <w:r>
        <w:rPr>
          <w:rFonts w:hint="eastAsia" w:ascii="仿宋_GB2312" w:hAnsi="仿宋" w:eastAsia="仿宋_GB2312" w:cs="仿宋"/>
          <w:color w:val="auto"/>
          <w:sz w:val="32"/>
          <w:szCs w:val="32"/>
        </w:rPr>
        <w:t>日</w:t>
      </w:r>
    </w:p>
    <w:p w14:paraId="6C015053">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（二）报名所需材料</w:t>
      </w:r>
    </w:p>
    <w:p w14:paraId="40D2B767">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1.本人免冠电子版白底登记照，JPG格式，20KB左右；</w:t>
      </w:r>
    </w:p>
    <w:p w14:paraId="28D3DC91">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2.本人身份证信息；</w:t>
      </w:r>
    </w:p>
    <w:p w14:paraId="643E9BC7">
      <w:pPr>
        <w:spacing w:line="560" w:lineRule="exact"/>
        <w:ind w:firstLine="640" w:firstLineChars="200"/>
        <w:rPr>
          <w:rFonts w:hint="eastAsia" w:ascii="仿宋_GB2312" w:hAnsi="仿宋" w:eastAsia="仿宋_GB2312" w:cs="仿宋"/>
          <w:sz w:val="32"/>
          <w:szCs w:val="32"/>
          <w:lang w:val="en-US" w:eastAsia="zh-CN"/>
        </w:rPr>
      </w:pPr>
      <w:r>
        <w:rPr>
          <w:rFonts w:hint="eastAsia" w:ascii="仿宋_GB2312" w:hAnsi="仿宋" w:eastAsia="仿宋_GB2312" w:cs="仿宋"/>
          <w:sz w:val="32"/>
          <w:szCs w:val="32"/>
        </w:rPr>
        <w:t>3.学历证书信息</w:t>
      </w:r>
      <w:r>
        <w:rPr>
          <w:rFonts w:hint="eastAsia" w:ascii="仿宋_GB2312" w:hAnsi="仿宋" w:eastAsia="仿宋_GB2312" w:cs="仿宋"/>
          <w:sz w:val="32"/>
          <w:szCs w:val="32"/>
          <w:lang w:eastAsia="zh-CN"/>
        </w:rPr>
        <w:t>。</w:t>
      </w:r>
    </w:p>
    <w:p w14:paraId="790CF0A2">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（三）评价费：四级260.00元</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三级320.00元</w:t>
      </w:r>
    </w:p>
    <w:p w14:paraId="27630828">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（四）报名方式及联系人</w:t>
      </w:r>
    </w:p>
    <w:p w14:paraId="32236254">
      <w:pPr>
        <w:spacing w:line="560" w:lineRule="exact"/>
        <w:ind w:firstLine="640" w:firstLineChars="200"/>
        <w:rPr>
          <w:rFonts w:hint="default" w:ascii="仿宋_GB2312" w:hAnsi="仿宋" w:eastAsia="仿宋_GB2312" w:cs="仿宋"/>
          <w:sz w:val="32"/>
          <w:szCs w:val="32"/>
          <w:lang w:val="en-US" w:eastAsia="zh-CN"/>
        </w:rPr>
      </w:pPr>
      <w:r>
        <w:rPr>
          <w:rFonts w:hint="eastAsia" w:ascii="仿宋_GB2312" w:hAnsi="仿宋" w:eastAsia="仿宋_GB2312" w:cs="仿宋"/>
          <w:sz w:val="32"/>
          <w:szCs w:val="32"/>
        </w:rPr>
        <w:t>1.报名：以二级学院为单位统一提交各项资料至：</w:t>
      </w:r>
      <w:r>
        <w:rPr>
          <w:rFonts w:hint="eastAsia" w:ascii="仿宋_GB2312" w:hAnsi="仿宋" w:eastAsia="仿宋_GB2312" w:cs="仿宋"/>
          <w:sz w:val="32"/>
          <w:szCs w:val="32"/>
          <w:lang w:val="en-US" w:eastAsia="zh-CN"/>
        </w:rPr>
        <w:t>严雨</w:t>
      </w:r>
      <w:r>
        <w:rPr>
          <w:rFonts w:hint="eastAsia" w:ascii="仿宋_GB2312" w:hAnsi="仿宋" w:eastAsia="仿宋_GB2312" w:cs="仿宋"/>
          <w:sz w:val="32"/>
          <w:szCs w:val="32"/>
        </w:rPr>
        <w:t>QQ：</w:t>
      </w:r>
      <w:r>
        <w:rPr>
          <w:rFonts w:hint="eastAsia" w:ascii="仿宋_GB2312" w:hAnsi="仿宋" w:eastAsia="仿宋_GB2312" w:cs="仿宋"/>
          <w:sz w:val="32"/>
          <w:szCs w:val="32"/>
          <w:lang w:val="en-US" w:eastAsia="zh-CN"/>
        </w:rPr>
        <w:t>471403239</w:t>
      </w:r>
      <w:r>
        <w:rPr>
          <w:rFonts w:hint="eastAsia" w:ascii="仿宋_GB2312" w:hAnsi="仿宋" w:eastAsia="仿宋_GB2312" w:cs="仿宋"/>
          <w:sz w:val="32"/>
          <w:szCs w:val="32"/>
        </w:rPr>
        <w:t>，电话：186710</w:t>
      </w:r>
      <w:r>
        <w:rPr>
          <w:rFonts w:hint="eastAsia" w:ascii="仿宋_GB2312" w:hAnsi="仿宋" w:eastAsia="仿宋_GB2312" w:cs="仿宋"/>
          <w:sz w:val="32"/>
          <w:szCs w:val="32"/>
          <w:lang w:val="en-US" w:eastAsia="zh-CN"/>
        </w:rPr>
        <w:t>13351</w:t>
      </w:r>
      <w:bookmarkStart w:id="0" w:name="_GoBack"/>
      <w:bookmarkEnd w:id="0"/>
    </w:p>
    <w:p w14:paraId="5F5253D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2.地址：襄阳市襄城区建锦路2号技师学院二校区（原二技校南院）</w:t>
      </w:r>
    </w:p>
    <w:p w14:paraId="69B0A90F">
      <w:pPr>
        <w:spacing w:line="560" w:lineRule="exact"/>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六、考试地点</w:t>
      </w:r>
    </w:p>
    <w:p w14:paraId="75FDD2EB">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襄阳技师学院 （襄阳市东津大道6号）</w:t>
      </w:r>
    </w:p>
    <w:p w14:paraId="522A6213">
      <w:pPr>
        <w:spacing w:line="560" w:lineRule="exact"/>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七、监管投诉事宜</w:t>
      </w:r>
    </w:p>
    <w:p w14:paraId="0C63ABB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监管投诉电话：0710-3626188</w:t>
      </w:r>
    </w:p>
    <w:p w14:paraId="71DE9A05">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监管单位：襄阳市职业技能鉴定指导中心</w:t>
      </w:r>
    </w:p>
    <w:p w14:paraId="2F186DE2">
      <w:pPr>
        <w:rPr>
          <w:rFonts w:ascii="仿宋_GB2312" w:hAnsi="仿宋" w:eastAsia="仿宋_GB2312" w:cs="仿宋"/>
          <w:sz w:val="32"/>
          <w:szCs w:val="32"/>
        </w:rPr>
      </w:pPr>
    </w:p>
    <w:p w14:paraId="4DCB631D">
      <w:pPr>
        <w:rPr>
          <w:rFonts w:ascii="仿宋_GB2312" w:hAnsi="仿宋" w:eastAsia="仿宋_GB2312" w:cs="仿宋"/>
          <w:color w:val="0000FF"/>
          <w:sz w:val="32"/>
          <w:szCs w:val="32"/>
        </w:rPr>
      </w:pPr>
    </w:p>
    <w:p w14:paraId="44D9CD87">
      <w:pPr>
        <w:rPr>
          <w:rFonts w:ascii="仿宋_GB2312" w:hAnsi="仿宋" w:eastAsia="仿宋_GB2312" w:cs="仿宋"/>
          <w:color w:val="0000FF"/>
          <w:sz w:val="32"/>
          <w:szCs w:val="32"/>
        </w:rPr>
      </w:pPr>
    </w:p>
    <w:p w14:paraId="0210CEC1">
      <w:pPr>
        <w:spacing w:before="60" w:after="60" w:line="360" w:lineRule="auto"/>
        <w:jc w:val="right"/>
        <w:rPr>
          <w:rFonts w:ascii="仿宋_GB2312" w:hAnsi="仿宋" w:eastAsia="仿宋_GB2312" w:cs="仿宋"/>
          <w:color w:val="auto"/>
          <w:sz w:val="32"/>
          <w:szCs w:val="32"/>
        </w:rPr>
      </w:pPr>
      <w:r>
        <w:rPr>
          <w:rFonts w:hint="eastAsia" w:ascii="仿宋_GB2312" w:hAnsi="仿宋" w:eastAsia="仿宋_GB2312" w:cs="仿宋"/>
          <w:color w:val="auto"/>
          <w:sz w:val="32"/>
          <w:szCs w:val="32"/>
        </w:rPr>
        <w:t>襄阳技师学院培训鉴定中心</w:t>
      </w:r>
    </w:p>
    <w:p w14:paraId="1B944682">
      <w:pPr>
        <w:wordWrap w:val="0"/>
        <w:spacing w:before="60" w:after="60" w:line="360" w:lineRule="auto"/>
        <w:jc w:val="right"/>
        <w:rPr>
          <w:rFonts w:hint="default"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2026年</w:t>
      </w:r>
      <w:r>
        <w:rPr>
          <w:rFonts w:hint="eastAsia" w:ascii="仿宋_GB2312" w:hAnsi="仿宋" w:eastAsia="仿宋_GB2312" w:cs="仿宋"/>
          <w:color w:val="auto"/>
          <w:sz w:val="32"/>
          <w:szCs w:val="32"/>
          <w:lang w:val="en-US" w:eastAsia="zh-CN"/>
        </w:rPr>
        <w:t>11</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4</w:t>
      </w:r>
      <w:r>
        <w:rPr>
          <w:rFonts w:hint="eastAsia" w:ascii="仿宋_GB2312" w:hAnsi="仿宋" w:eastAsia="仿宋_GB2312" w:cs="仿宋"/>
          <w:color w:val="auto"/>
          <w:sz w:val="32"/>
          <w:szCs w:val="32"/>
        </w:rPr>
        <w:t>日</w:t>
      </w:r>
      <w:r>
        <w:rPr>
          <w:rFonts w:hint="eastAsia" w:ascii="仿宋_GB2312" w:hAnsi="仿宋" w:eastAsia="仿宋_GB2312" w:cs="仿宋"/>
          <w:color w:val="auto"/>
          <w:sz w:val="32"/>
          <w:szCs w:val="32"/>
          <w:lang w:val="en-US" w:eastAsia="zh-CN"/>
        </w:rPr>
        <w:t xml:space="preserve">  </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780"/>
    <w:rsid w:val="000641BB"/>
    <w:rsid w:val="00146778"/>
    <w:rsid w:val="00364780"/>
    <w:rsid w:val="004D50E7"/>
    <w:rsid w:val="00670F1B"/>
    <w:rsid w:val="0082478C"/>
    <w:rsid w:val="009B7D92"/>
    <w:rsid w:val="00A70F28"/>
    <w:rsid w:val="00B15F18"/>
    <w:rsid w:val="00CC57A4"/>
    <w:rsid w:val="02E64840"/>
    <w:rsid w:val="14045069"/>
    <w:rsid w:val="16267B31"/>
    <w:rsid w:val="16B55AB3"/>
    <w:rsid w:val="19616ABA"/>
    <w:rsid w:val="220D3C83"/>
    <w:rsid w:val="24011C3D"/>
    <w:rsid w:val="26BD6723"/>
    <w:rsid w:val="2A830F86"/>
    <w:rsid w:val="2BFB2D9E"/>
    <w:rsid w:val="2F6F1591"/>
    <w:rsid w:val="395266F7"/>
    <w:rsid w:val="3ABB2076"/>
    <w:rsid w:val="40850987"/>
    <w:rsid w:val="445D38B7"/>
    <w:rsid w:val="4CD56AD7"/>
    <w:rsid w:val="59E83FE0"/>
    <w:rsid w:val="5BC56459"/>
    <w:rsid w:val="5D083B80"/>
    <w:rsid w:val="5EC674C3"/>
    <w:rsid w:val="62F53AC8"/>
    <w:rsid w:val="692769A5"/>
    <w:rsid w:val="6AAE7C26"/>
    <w:rsid w:val="76DA40F7"/>
    <w:rsid w:val="785726D7"/>
    <w:rsid w:val="7EE27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lang w:val="en-US" w:eastAsia="zh-CN" w:bidi="ar-SA"/>
    </w:rPr>
  </w:style>
  <w:style w:type="paragraph" w:styleId="2">
    <w:name w:val="heading 1"/>
    <w:next w:val="1"/>
    <w:qFormat/>
    <w:uiPriority w:val="0"/>
    <w:pPr>
      <w:outlineLvl w:val="0"/>
    </w:pPr>
    <w:rPr>
      <w:rFonts w:ascii="Times New Roman" w:hAnsi="Times New Roman" w:eastAsia="宋体" w:cs="Times New Roman"/>
      <w:color w:val="2E74B5"/>
      <w:sz w:val="32"/>
      <w:szCs w:val="32"/>
      <w:lang w:val="en-US" w:eastAsia="zh-CN" w:bidi="ar-SA"/>
    </w:rPr>
  </w:style>
  <w:style w:type="paragraph" w:styleId="3">
    <w:name w:val="heading 2"/>
    <w:next w:val="1"/>
    <w:qFormat/>
    <w:uiPriority w:val="0"/>
    <w:pPr>
      <w:outlineLvl w:val="1"/>
    </w:pPr>
    <w:rPr>
      <w:rFonts w:ascii="Times New Roman" w:hAnsi="Times New Roman" w:eastAsia="宋体" w:cs="Times New Roman"/>
      <w:color w:val="2E74B5"/>
      <w:sz w:val="26"/>
      <w:szCs w:val="26"/>
      <w:lang w:val="en-US" w:eastAsia="zh-CN" w:bidi="ar-SA"/>
    </w:rPr>
  </w:style>
  <w:style w:type="paragraph" w:styleId="4">
    <w:name w:val="heading 3"/>
    <w:next w:val="1"/>
    <w:qFormat/>
    <w:uiPriority w:val="0"/>
    <w:pPr>
      <w:outlineLvl w:val="2"/>
    </w:pPr>
    <w:rPr>
      <w:rFonts w:ascii="Times New Roman" w:hAnsi="Times New Roman" w:eastAsia="宋体" w:cs="Times New Roman"/>
      <w:color w:val="1F4D78"/>
      <w:sz w:val="24"/>
      <w:szCs w:val="24"/>
      <w:lang w:val="en-US" w:eastAsia="zh-CN" w:bidi="ar-SA"/>
    </w:rPr>
  </w:style>
  <w:style w:type="paragraph" w:styleId="5">
    <w:name w:val="heading 4"/>
    <w:next w:val="1"/>
    <w:qFormat/>
    <w:uiPriority w:val="0"/>
    <w:pPr>
      <w:outlineLvl w:val="3"/>
    </w:pPr>
    <w:rPr>
      <w:rFonts w:ascii="Times New Roman" w:hAnsi="Times New Roman" w:eastAsia="宋体" w:cs="Times New Roman"/>
      <w:i/>
      <w:iCs/>
      <w:color w:val="2E74B5"/>
      <w:sz w:val="24"/>
      <w:szCs w:val="24"/>
      <w:lang w:val="en-US" w:eastAsia="zh-CN" w:bidi="ar-SA"/>
    </w:rPr>
  </w:style>
  <w:style w:type="paragraph" w:styleId="6">
    <w:name w:val="heading 5"/>
    <w:next w:val="1"/>
    <w:qFormat/>
    <w:uiPriority w:val="0"/>
    <w:pPr>
      <w:outlineLvl w:val="4"/>
    </w:pPr>
    <w:rPr>
      <w:rFonts w:ascii="Times New Roman" w:hAnsi="Times New Roman" w:eastAsia="宋体" w:cs="Times New Roman"/>
      <w:color w:val="2E74B5"/>
      <w:sz w:val="24"/>
      <w:szCs w:val="24"/>
      <w:lang w:val="en-US" w:eastAsia="zh-CN" w:bidi="ar-SA"/>
    </w:rPr>
  </w:style>
  <w:style w:type="paragraph" w:styleId="7">
    <w:name w:val="heading 6"/>
    <w:next w:val="1"/>
    <w:qFormat/>
    <w:uiPriority w:val="0"/>
    <w:pPr>
      <w:outlineLvl w:val="5"/>
    </w:pPr>
    <w:rPr>
      <w:rFonts w:ascii="Times New Roman" w:hAnsi="Times New Roman" w:eastAsia="宋体" w:cs="Times New Roman"/>
      <w:color w:val="1F4D78"/>
      <w:sz w:val="24"/>
      <w:szCs w:val="24"/>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endnote text"/>
    <w:link w:val="22"/>
    <w:semiHidden/>
    <w:unhideWhenUsed/>
    <w:qFormat/>
    <w:uiPriority w:val="99"/>
    <w:rPr>
      <w:rFonts w:ascii="Times New Roman" w:hAnsi="Times New Roman" w:eastAsia="宋体" w:cs="Times New Roman"/>
      <w:color w:val="000000"/>
      <w:lang w:val="en-US" w:eastAsia="zh-CN" w:bidi="ar-SA"/>
    </w:rPr>
  </w:style>
  <w:style w:type="paragraph" w:styleId="9">
    <w:name w:val="footer"/>
    <w:basedOn w:val="1"/>
    <w:link w:val="24"/>
    <w:qFormat/>
    <w:uiPriority w:val="0"/>
    <w:pPr>
      <w:tabs>
        <w:tab w:val="center" w:pos="4153"/>
        <w:tab w:val="right" w:pos="8306"/>
      </w:tabs>
      <w:snapToGrid w:val="0"/>
      <w:jc w:val="left"/>
    </w:pPr>
    <w:rPr>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1">
    <w:name w:val="footnote text"/>
    <w:link w:val="21"/>
    <w:semiHidden/>
    <w:unhideWhenUsed/>
    <w:qFormat/>
    <w:uiPriority w:val="99"/>
    <w:rPr>
      <w:rFonts w:ascii="Times New Roman" w:hAnsi="Times New Roman" w:eastAsia="宋体" w:cs="Times New Roman"/>
      <w:color w:val="000000"/>
      <w:lang w:val="en-US" w:eastAsia="zh-CN" w:bidi="ar-SA"/>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color w:val="auto"/>
    </w:rPr>
  </w:style>
  <w:style w:type="paragraph" w:styleId="13">
    <w:name w:val="Title"/>
    <w:qFormat/>
    <w:uiPriority w:val="0"/>
    <w:rPr>
      <w:rFonts w:ascii="Times New Roman" w:hAnsi="Times New Roman" w:eastAsia="宋体" w:cs="Times New Roman"/>
      <w:color w:val="000000"/>
      <w:sz w:val="56"/>
      <w:szCs w:val="56"/>
      <w:lang w:val="en-US" w:eastAsia="zh-CN" w:bidi="ar-SA"/>
    </w:rPr>
  </w:style>
  <w:style w:type="character" w:styleId="16">
    <w:name w:val="Strong"/>
    <w:basedOn w:val="15"/>
    <w:qFormat/>
    <w:uiPriority w:val="22"/>
    <w:rPr>
      <w:b/>
      <w:bCs/>
    </w:rPr>
  </w:style>
  <w:style w:type="character" w:styleId="17">
    <w:name w:val="endnote reference"/>
    <w:semiHidden/>
    <w:unhideWhenUsed/>
    <w:qFormat/>
    <w:uiPriority w:val="99"/>
    <w:rPr>
      <w:vertAlign w:val="superscript"/>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imes New Roman" w:hAnsi="Times New Roman" w:eastAsia="宋体" w:cs="Times New Roman"/>
      <w:color w:val="000000"/>
      <w:sz w:val="24"/>
      <w:szCs w:val="24"/>
      <w:lang w:val="en-US" w:eastAsia="zh-CN" w:bidi="ar-SA"/>
    </w:rPr>
  </w:style>
  <w:style w:type="character" w:customStyle="1" w:styleId="21">
    <w:name w:val="脚注文本 Char"/>
    <w:link w:val="11"/>
    <w:semiHidden/>
    <w:unhideWhenUsed/>
    <w:qFormat/>
    <w:uiPriority w:val="99"/>
    <w:rPr>
      <w:sz w:val="20"/>
      <w:szCs w:val="20"/>
    </w:rPr>
  </w:style>
  <w:style w:type="character" w:customStyle="1" w:styleId="22">
    <w:name w:val="尾注文本 Char"/>
    <w:link w:val="8"/>
    <w:semiHidden/>
    <w:unhideWhenUsed/>
    <w:qFormat/>
    <w:uiPriority w:val="99"/>
    <w:rPr>
      <w:sz w:val="20"/>
      <w:szCs w:val="20"/>
    </w:rPr>
  </w:style>
  <w:style w:type="character" w:customStyle="1" w:styleId="23">
    <w:name w:val="页眉 Char"/>
    <w:basedOn w:val="15"/>
    <w:link w:val="10"/>
    <w:qFormat/>
    <w:uiPriority w:val="0"/>
    <w:rPr>
      <w:color w:val="000000"/>
      <w:sz w:val="18"/>
      <w:szCs w:val="18"/>
    </w:rPr>
  </w:style>
  <w:style w:type="character" w:customStyle="1" w:styleId="24">
    <w:name w:val="页脚 Char"/>
    <w:basedOn w:val="15"/>
    <w:link w:val="9"/>
    <w:qFormat/>
    <w:uiPriority w:val="0"/>
    <w:rPr>
      <w:color w:val="00000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989</Words>
  <Characters>1096</Characters>
  <Lines>13</Lines>
  <Paragraphs>3</Paragraphs>
  <TotalTime>30</TotalTime>
  <ScaleCrop>false</ScaleCrop>
  <LinksUpToDate>false</LinksUpToDate>
  <CharactersWithSpaces>1098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2026-09-01T10:13:00Z</dcterms:created>
  <dc:creator>Un-named</dc:creator>
  <cp:lastModifiedBy>严雨</cp:lastModifiedBy>
  <cp:lastPrinted>2026-09-03T07:16:00Z</cp:lastPrinted>
  <dcterms:modified xsi:type="dcterms:W3CDTF">2026-11-04T08:47:56Z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7633692258318991642-data_volume/files/所有对话/主对话/襄阳技师学院职业技能等级认定第三批考试计划.docx","ReservedCode1":"","ContentPropagator":"001191110102MACQD9K64028705","PropagateID":"3792692431818026#17883</vt:lpwstr>
  </property>
  <property fmtid="{D5CDD505-2E9C-101B-9397-08002B2CF9AE}" pid="3" name="KSOTemplateDocerSaveRecord">
    <vt:lpwstr>eyJoZGlkIjoiODRmYmY4YzJhYTI5YzMwMjM4ZmJmNTE1ZTY1NWViMjciLCJ1c2VySWQiOiI0MDA2MTA0NzUifQ==</vt:lpwstr>
  </property>
  <property fmtid="{D5CDD505-2E9C-101B-9397-08002B2CF9AE}" pid="4" name="KSOProductBuildVer">
    <vt:lpwstr>2052-12.1.0.29161</vt:lpwstr>
  </property>
  <property fmtid="{D5CDD505-2E9C-101B-9397-08002B2CF9AE}" pid="5" name="ICV">
    <vt:lpwstr>068FD9C1AFA148F482BF98067E2F65FB_13</vt:lpwstr>
  </property>
</Properties>
</file>